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456C" w:rsidRDefault="000F456C">
      <w:pPr>
        <w:pStyle w:val="Titolo"/>
        <w:rPr>
          <w:sz w:val="28"/>
          <w:szCs w:val="28"/>
        </w:rPr>
      </w:pPr>
    </w:p>
    <w:p w:rsidR="000F456C" w:rsidRDefault="000F456C">
      <w:pPr>
        <w:pStyle w:val="Titolo"/>
        <w:rPr>
          <w:sz w:val="28"/>
          <w:szCs w:val="28"/>
        </w:rPr>
      </w:pPr>
    </w:p>
    <w:p w:rsidR="000F456C" w:rsidRPr="00153AF6" w:rsidRDefault="000F456C" w:rsidP="000F456C">
      <w:pPr>
        <w:spacing w:before="60" w:after="60"/>
        <w:jc w:val="center"/>
        <w:rPr>
          <w:b/>
          <w:sz w:val="40"/>
          <w:szCs w:val="24"/>
        </w:rPr>
      </w:pPr>
      <w:r w:rsidRPr="00153AF6">
        <w:rPr>
          <w:b/>
          <w:sz w:val="40"/>
          <w:szCs w:val="24"/>
        </w:rPr>
        <w:t>Newsletter 2</w:t>
      </w:r>
      <w:bookmarkStart w:id="0" w:name="_GoBack"/>
      <w:bookmarkEnd w:id="0"/>
    </w:p>
    <w:p w:rsidR="000F456C" w:rsidRDefault="000F456C">
      <w:pPr>
        <w:pStyle w:val="Titolo"/>
        <w:rPr>
          <w:sz w:val="28"/>
          <w:szCs w:val="28"/>
        </w:rPr>
      </w:pPr>
    </w:p>
    <w:p w:rsidR="000A4384" w:rsidRPr="000F456C" w:rsidRDefault="000A4384">
      <w:pPr>
        <w:pStyle w:val="Titolo"/>
        <w:rPr>
          <w:b w:val="0"/>
          <w:bCs w:val="0"/>
          <w:caps w:val="0"/>
          <w:color w:val="auto"/>
          <w:kern w:val="0"/>
          <w:sz w:val="44"/>
          <w:szCs w:val="44"/>
        </w:rPr>
      </w:pPr>
      <w:r w:rsidRPr="000F456C">
        <w:rPr>
          <w:sz w:val="44"/>
          <w:szCs w:val="44"/>
        </w:rPr>
        <w:t>Questioni edilizie</w:t>
      </w:r>
    </w:p>
    <w:p w:rsidR="000A4384" w:rsidRDefault="000A4384">
      <w:pPr>
        <w:overflowPunct/>
        <w:spacing w:after="0" w:line="240" w:lineRule="auto"/>
        <w:rPr>
          <w:color w:val="auto"/>
          <w:kern w:val="0"/>
          <w:sz w:val="24"/>
          <w:szCs w:val="24"/>
        </w:rPr>
        <w:sectPr w:rsidR="000A4384">
          <w:headerReference w:type="default" r:id="rId10"/>
          <w:pgSz w:w="12240" w:h="15840"/>
          <w:pgMar w:top="1440" w:right="1440" w:bottom="1440" w:left="1440" w:header="720" w:footer="720" w:gutter="0"/>
          <w:cols w:space="720"/>
          <w:noEndnote/>
        </w:sectPr>
      </w:pPr>
    </w:p>
    <w:p w:rsidR="000A4384" w:rsidRDefault="000A4384">
      <w:pPr>
        <w:pStyle w:val="PullQuote"/>
        <w:rPr>
          <w:i w:val="0"/>
          <w:iCs w:val="0"/>
          <w:color w:val="auto"/>
          <w:kern w:val="0"/>
        </w:rPr>
      </w:pPr>
      <w:r>
        <w:rPr>
          <w:noProof/>
        </w:rPr>
        <w:t xml:space="preserve">" </w:t>
      </w:r>
      <w:r>
        <w:t xml:space="preserve">Per realizzare un'edilizia sostenibile abbiamo posto fine a quelle cattive abitudini di lunga data che sprecano le risorse naturali. .. </w:t>
      </w:r>
      <w:r>
        <w:rPr>
          <w:noProof/>
        </w:rPr>
        <w:t>"</w:t>
      </w:r>
    </w:p>
    <w:p w:rsidR="000A4384" w:rsidRDefault="000A4384">
      <w:pPr>
        <w:overflowPunct/>
        <w:spacing w:after="0" w:line="240" w:lineRule="auto"/>
        <w:rPr>
          <w:color w:val="auto"/>
          <w:kern w:val="0"/>
          <w:sz w:val="24"/>
          <w:szCs w:val="24"/>
        </w:rPr>
        <w:sectPr w:rsidR="000A4384">
          <w:type w:val="continuous"/>
          <w:pgSz w:w="12240" w:h="15840"/>
          <w:pgMar w:top="1440" w:right="1440" w:bottom="1440" w:left="1440" w:header="720" w:footer="720" w:gutter="0"/>
          <w:cols w:space="720"/>
          <w:noEndnote/>
        </w:sectPr>
      </w:pPr>
    </w:p>
    <w:p w:rsidR="000A4384" w:rsidRPr="001B5094" w:rsidRDefault="001B5094" w:rsidP="001B5094">
      <w:pPr>
        <w:pStyle w:val="Titolo3"/>
        <w:rPr>
          <w:color w:val="auto"/>
        </w:rPr>
      </w:pPr>
      <w:r>
        <w:rPr>
          <w:color w:val="auto"/>
        </w:rPr>
        <w:t xml:space="preserve">In </w:t>
      </w:r>
      <w:r w:rsidR="000A4384" w:rsidRPr="001B5094">
        <w:rPr>
          <w:color w:val="auto"/>
        </w:rPr>
        <w:t>questo problema</w:t>
      </w:r>
    </w:p>
    <w:p w:rsidR="000A4384" w:rsidRPr="001B5094" w:rsidRDefault="000A4384">
      <w:pPr>
        <w:pStyle w:val="Puntoelenco"/>
        <w:rPr>
          <w:color w:val="auto"/>
        </w:rPr>
      </w:pPr>
      <w:r w:rsidRPr="001B5094">
        <w:rPr>
          <w:color w:val="auto"/>
        </w:rPr>
        <w:t>Informazioni sullo scopo del pacchetto di conoscenze</w:t>
      </w:r>
    </w:p>
    <w:p w:rsidR="000A4384" w:rsidRPr="001B5094" w:rsidRDefault="000A4384">
      <w:pPr>
        <w:pStyle w:val="Puntoelenco"/>
        <w:rPr>
          <w:color w:val="auto"/>
        </w:rPr>
      </w:pPr>
      <w:r w:rsidRPr="001B5094">
        <w:rPr>
          <w:color w:val="auto"/>
        </w:rPr>
        <w:t>Struttura dei curricula formativi</w:t>
      </w:r>
    </w:p>
    <w:p w:rsidR="000A4384" w:rsidRPr="001B5094" w:rsidRDefault="000A4384">
      <w:pPr>
        <w:pStyle w:val="Puntoelenco"/>
        <w:rPr>
          <w:color w:val="auto"/>
          <w:kern w:val="0"/>
          <w:sz w:val="24"/>
          <w:szCs w:val="24"/>
        </w:rPr>
      </w:pPr>
      <w:r w:rsidRPr="001B5094">
        <w:rPr>
          <w:color w:val="auto"/>
        </w:rPr>
        <w:t>Contenuto dei moduli formativi</w:t>
      </w:r>
    </w:p>
    <w:p w:rsidR="000A4384" w:rsidRDefault="000A4384">
      <w:pPr>
        <w:overflowPunct/>
        <w:spacing w:after="0" w:line="240" w:lineRule="auto"/>
        <w:rPr>
          <w:color w:val="auto"/>
          <w:kern w:val="0"/>
          <w:sz w:val="24"/>
          <w:szCs w:val="24"/>
        </w:rPr>
        <w:sectPr w:rsidR="000A4384">
          <w:type w:val="continuous"/>
          <w:pgSz w:w="12240" w:h="15840"/>
          <w:pgMar w:top="1440" w:right="1440" w:bottom="1440" w:left="1440" w:header="720" w:footer="720" w:gutter="0"/>
          <w:cols w:space="720"/>
          <w:noEndnote/>
        </w:sectPr>
      </w:pPr>
    </w:p>
    <w:p w:rsidR="000A4384" w:rsidRDefault="000A4384">
      <w:pPr>
        <w:pStyle w:val="Titolo1"/>
      </w:pPr>
      <w:r>
        <w:t>Pacchetto informativo sui materiali da costruzione sostenibili</w:t>
      </w:r>
    </w:p>
    <w:p w:rsidR="000A4384" w:rsidRDefault="000A4384" w:rsidP="00863233">
      <w:pPr>
        <w:pStyle w:val="Corpotesto"/>
        <w:jc w:val="both"/>
      </w:pPr>
      <w:r>
        <w:t>Una delle principali attività del progetto Building Matters è la creazione di un pacchetto di conoscenze sul tema dei materiali da costruzione sostenibili. Come identificato nel rapporto transnazionale sullo stato dei materiali da costruzione sostenibili, la scarsità di corsi di formazione disponibili per la condivisione delle conoscenze rappresentano le sfide maggiori per una loro diffusione più significativa.</w:t>
      </w:r>
    </w:p>
    <w:p w:rsidR="000A4384" w:rsidRDefault="000A4384">
      <w:pPr>
        <w:pStyle w:val="Titolo2"/>
      </w:pPr>
      <w:r>
        <w:t>Programmi di formazione sviluppati</w:t>
      </w:r>
    </w:p>
    <w:p w:rsidR="000A4384" w:rsidRDefault="000A4384" w:rsidP="00863233">
      <w:pPr>
        <w:jc w:val="both"/>
      </w:pPr>
      <w:r>
        <w:t>Al fine di colmare il divario nell'offerta formativa relativa ai materiali da costruzione sostenibili, viene sviluppato un programma di formazione autoguidata per fornire le conoscenze di base e la familiarità con gli elementi chiave e le questioni relative ai materiali da costruzione sostenibili.</w:t>
      </w:r>
    </w:p>
    <w:p w:rsidR="000A4384" w:rsidRDefault="000A4384" w:rsidP="00863233">
      <w:pPr>
        <w:pStyle w:val="unknownstyle"/>
        <w:jc w:val="both"/>
      </w:pPr>
      <w:r>
        <w:t xml:space="preserve">D: </w:t>
      </w:r>
      <w:r>
        <w:tab/>
        <w:t xml:space="preserve">Chi sono i nostri </w:t>
      </w:r>
      <w:r w:rsidR="00863233">
        <w:t>destinatari</w:t>
      </w:r>
      <w:r>
        <w:t>?</w:t>
      </w:r>
    </w:p>
    <w:p w:rsidR="000A4384" w:rsidRDefault="000A4384" w:rsidP="00863233">
      <w:pPr>
        <w:jc w:val="both"/>
      </w:pPr>
      <w:r>
        <w:t xml:space="preserve">A: </w:t>
      </w:r>
      <w:r>
        <w:tab/>
        <w:t>Professionisti dell'edilizia, Progettisti dell'edilizia, Imprenditori edili, soprattutto giovani e donne, Professionisti degli appalti</w:t>
      </w:r>
      <w:r w:rsidR="00863233">
        <w:t>, lavoratori delle imprese edili</w:t>
      </w:r>
    </w:p>
    <w:p w:rsidR="000A4384" w:rsidRDefault="000A4384" w:rsidP="00863233">
      <w:pPr>
        <w:pStyle w:val="unknownstyle"/>
        <w:jc w:val="both"/>
      </w:pPr>
      <w:r>
        <w:t xml:space="preserve">D: </w:t>
      </w:r>
      <w:r>
        <w:tab/>
        <w:t>Quali conoscenze e competenze acquisiranno i</w:t>
      </w:r>
      <w:r w:rsidR="00863233">
        <w:t xml:space="preserve"> corsisti</w:t>
      </w:r>
      <w:r>
        <w:t>?</w:t>
      </w:r>
    </w:p>
    <w:p w:rsidR="000A4384" w:rsidRDefault="000A4384" w:rsidP="00863233">
      <w:pPr>
        <w:jc w:val="both"/>
      </w:pPr>
      <w:r>
        <w:t xml:space="preserve">R: </w:t>
      </w:r>
      <w:r>
        <w:tab/>
        <w:t>Le conoscenze acquisite mireranno a</w:t>
      </w:r>
      <w:r w:rsidR="00863233">
        <w:t xml:space="preserve">d acquisire: </w:t>
      </w:r>
      <w:r>
        <w:t xml:space="preserve">consapevolezza sugli aspetti ambientali, energetici e sull'impronta di carbonio dei materiali da costruzione; familiarità con le procedure per la metodologia di valutazione del ciclo di vita; buona conoscenza della legislazione europea, delle pratiche di etichettatura e degli standard sui materiali da costruzione; </w:t>
      </w:r>
      <w:r w:rsidR="00863233">
        <w:t>conoscenze sul</w:t>
      </w:r>
      <w:r>
        <w:t xml:space="preserve"> concetto di costruzione sostenibile e nuovi approcci, processi che includono materiali sostenibili.</w:t>
      </w:r>
    </w:p>
    <w:p w:rsidR="000F456C" w:rsidRDefault="000A4384" w:rsidP="00863233">
      <w:pPr>
        <w:jc w:val="both"/>
      </w:pPr>
      <w:r>
        <w:t xml:space="preserve">Le nuove competenze che la formazione fornirà sono: comprendere l'impatto ecologico dei materiali da costruzione </w:t>
      </w:r>
      <w:r>
        <w:lastRenderedPageBreak/>
        <w:t xml:space="preserve">tradizionali; capacità di calcolare gli aspetti ambientali dei materiali da costruzione (quantità di emissioni di carbonio, </w:t>
      </w:r>
    </w:p>
    <w:p w:rsidR="000F456C" w:rsidRDefault="000F456C" w:rsidP="00863233">
      <w:pPr>
        <w:jc w:val="both"/>
      </w:pPr>
    </w:p>
    <w:p w:rsidR="000F456C" w:rsidRDefault="000F456C" w:rsidP="00863233">
      <w:pPr>
        <w:jc w:val="both"/>
      </w:pPr>
    </w:p>
    <w:p w:rsidR="000A4384" w:rsidRDefault="000A4384" w:rsidP="00863233">
      <w:pPr>
        <w:jc w:val="both"/>
        <w:rPr>
          <w:color w:val="auto"/>
          <w:kern w:val="0"/>
          <w:sz w:val="24"/>
          <w:szCs w:val="24"/>
        </w:rPr>
      </w:pPr>
      <w:r>
        <w:t>energia incorporata, ecc.); capacità di utilizzare diversi strumenti software per l'analisi del ciclo di vita dei materiali da costruzione in tutte le fasi della costruzione, predisposizione per la valutazione del costo del ciclo di vita allo scopo di selezionare il materiale da costruzione più appropriato; familiarità con diversi schemi di etichettatura per i materiali da costruzione; capacità di selezione adeguata del materiale da costruzione, in base ai requisiti di etichettatura; capacità di scegliere tra diversi materiali da costruzione; familiarità con i vantaggi dei materiali riutilizzati e riciclati; conoscere il corretto utilizzo degli strumenti per la valutazione della prestazione energetica degli edifici; comprendere il concetto e l’etichettatura degli edifici verdi.</w:t>
      </w:r>
    </w:p>
    <w:p w:rsidR="000A4384" w:rsidRDefault="000A4384">
      <w:pPr>
        <w:overflowPunct/>
        <w:spacing w:after="0" w:line="240" w:lineRule="auto"/>
        <w:rPr>
          <w:color w:val="auto"/>
          <w:kern w:val="0"/>
          <w:sz w:val="24"/>
          <w:szCs w:val="24"/>
        </w:rPr>
        <w:sectPr w:rsidR="000A4384">
          <w:type w:val="continuous"/>
          <w:pgSz w:w="12240" w:h="15840"/>
          <w:pgMar w:top="1440" w:right="1440" w:bottom="1440" w:left="1440" w:header="720" w:footer="720" w:gutter="0"/>
          <w:cols w:space="720"/>
          <w:noEndnote/>
        </w:sectPr>
      </w:pPr>
    </w:p>
    <w:p w:rsidR="000A4384" w:rsidRDefault="000A4384">
      <w:pPr>
        <w:pStyle w:val="unknownstyle3"/>
        <w:rPr>
          <w:b w:val="0"/>
          <w:bCs w:val="0"/>
          <w:color w:val="auto"/>
          <w:kern w:val="0"/>
          <w:sz w:val="24"/>
          <w:szCs w:val="24"/>
        </w:rPr>
      </w:pPr>
      <w:r>
        <w:t>Newsletter n.2</w:t>
      </w:r>
    </w:p>
    <w:p w:rsidR="000A4384" w:rsidRDefault="000A4384">
      <w:pPr>
        <w:overflowPunct/>
        <w:spacing w:after="0" w:line="240" w:lineRule="auto"/>
        <w:rPr>
          <w:color w:val="auto"/>
          <w:kern w:val="0"/>
          <w:sz w:val="24"/>
          <w:szCs w:val="24"/>
        </w:rPr>
        <w:sectPr w:rsidR="000A4384">
          <w:type w:val="continuous"/>
          <w:pgSz w:w="12240" w:h="15840"/>
          <w:pgMar w:top="1440" w:right="1440" w:bottom="1440" w:left="1440" w:header="720" w:footer="720" w:gutter="0"/>
          <w:cols w:space="720"/>
          <w:noEndnote/>
        </w:sectPr>
      </w:pPr>
    </w:p>
    <w:p w:rsidR="000A4384" w:rsidRDefault="000A4384">
      <w:pPr>
        <w:pStyle w:val="unknownstyle2"/>
        <w:rPr>
          <w:rFonts w:ascii="Arial" w:hAnsi="Arial" w:cs="Arial"/>
          <w:color w:val="auto"/>
          <w:kern w:val="0"/>
          <w:sz w:val="24"/>
          <w:szCs w:val="24"/>
        </w:rPr>
      </w:pPr>
      <w:r>
        <w:t>Febbraio 2024</w:t>
      </w:r>
    </w:p>
    <w:p w:rsidR="000A4384" w:rsidRDefault="000A4384">
      <w:pPr>
        <w:overflowPunct/>
        <w:spacing w:after="0" w:line="240" w:lineRule="auto"/>
        <w:rPr>
          <w:color w:val="auto"/>
          <w:kern w:val="0"/>
          <w:sz w:val="24"/>
          <w:szCs w:val="24"/>
        </w:rPr>
        <w:sectPr w:rsidR="000A4384">
          <w:type w:val="continuous"/>
          <w:pgSz w:w="12240" w:h="15840"/>
          <w:pgMar w:top="1440" w:right="1440" w:bottom="1440" w:left="1440" w:header="720" w:footer="720" w:gutter="0"/>
          <w:cols w:space="720"/>
          <w:noEndnote/>
        </w:sectPr>
      </w:pPr>
    </w:p>
    <w:p w:rsidR="001B5094" w:rsidRDefault="001B5094" w:rsidP="001B5094">
      <w:pPr>
        <w:pStyle w:val="Titolo1"/>
      </w:pPr>
      <w:r>
        <w:t>Obiettivi</w:t>
      </w:r>
    </w:p>
    <w:p w:rsidR="001B5094" w:rsidRDefault="001B5094" w:rsidP="00863233">
      <w:pPr>
        <w:jc w:val="both"/>
        <w:rPr>
          <w:color w:val="343434"/>
        </w:rPr>
      </w:pPr>
      <w:r>
        <w:rPr>
          <w:color w:val="343434"/>
        </w:rPr>
        <w:t>Il corso fornisce agli utenti finali competenze verdi rafforzate per affrontare le sfide ambientali e di transizione climatica che il settore delle costruzioni si trova ad affrontare, attraverso la promozione e la fornitura di conoscenze fondamentali sull'uso di materiali da costruzione sostenibili. Lo scopo del corso è evidenziare l'impatto ambientale dei materiali da costruzione e l'importanza di iniziative e aspirazioni che guideranno il necessario passaggio verso l'uso di materiali e approcci sostenibili e rispettosi dell'ambiente nel settore dell'edilizia in futuro.</w:t>
      </w:r>
    </w:p>
    <w:p w:rsidR="001B5094" w:rsidRDefault="001B5094" w:rsidP="00863233">
      <w:pPr>
        <w:jc w:val="both"/>
        <w:rPr>
          <w:color w:val="auto"/>
          <w:kern w:val="0"/>
          <w:sz w:val="24"/>
          <w:szCs w:val="24"/>
        </w:rPr>
      </w:pPr>
      <w:r>
        <w:rPr>
          <w:color w:val="343434"/>
        </w:rPr>
        <w:t xml:space="preserve">La formazione avrà un impatto abilitante sui cambiamenti comportamentali e sullo sviluppo di competenze in linea con l’iniziativa New </w:t>
      </w:r>
      <w:proofErr w:type="spellStart"/>
      <w:r>
        <w:rPr>
          <w:color w:val="343434"/>
        </w:rPr>
        <w:t>European</w:t>
      </w:r>
      <w:proofErr w:type="spellEnd"/>
      <w:r>
        <w:rPr>
          <w:color w:val="343434"/>
        </w:rPr>
        <w:t xml:space="preserve"> Bauhaus, che richiede la riqualificazione e la promozione dell’IFP nei settori interessati come quello dell’edilizia, per un uso efficace di nuovi materiali e strumenti pertinenti.</w:t>
      </w:r>
    </w:p>
    <w:p w:rsidR="000A4384" w:rsidRPr="001B5094" w:rsidRDefault="000A4384" w:rsidP="001B5094">
      <w:pPr>
        <w:pStyle w:val="Titolo3"/>
      </w:pPr>
      <w:r>
        <w:t xml:space="preserve">Struttura del </w:t>
      </w:r>
      <w:r w:rsidR="001B5094">
        <w:t>percorso formativo</w:t>
      </w:r>
    </w:p>
    <w:p w:rsidR="000A4384" w:rsidRDefault="000A4384">
      <w:pPr>
        <w:overflowPunct/>
        <w:spacing w:after="0" w:line="240" w:lineRule="auto"/>
        <w:rPr>
          <w:color w:val="auto"/>
          <w:kern w:val="0"/>
          <w:sz w:val="24"/>
          <w:szCs w:val="24"/>
        </w:rPr>
        <w:sectPr w:rsidR="000A4384">
          <w:type w:val="continuous"/>
          <w:pgSz w:w="12240" w:h="15840"/>
          <w:pgMar w:top="1440" w:right="1440" w:bottom="1440" w:left="1440" w:header="720" w:footer="720" w:gutter="0"/>
          <w:cols w:space="720"/>
          <w:noEndnote/>
        </w:sectPr>
      </w:pPr>
    </w:p>
    <w:p w:rsidR="000A4384" w:rsidRDefault="000A4384">
      <w:pPr>
        <w:pStyle w:val="Titolo1"/>
      </w:pPr>
      <w:r>
        <w:t>Programma di formazione sui materiali da costruzione sostenibili</w:t>
      </w:r>
    </w:p>
    <w:p w:rsidR="000A4384" w:rsidRDefault="000A4384">
      <w:pPr>
        <w:rPr>
          <w:color w:val="343434"/>
        </w:rPr>
      </w:pPr>
      <w:r>
        <w:rPr>
          <w:color w:val="80A509"/>
          <w:sz w:val="32"/>
          <w:szCs w:val="32"/>
        </w:rPr>
        <w:t>Modulo 1: Aspetti ambientali dei materiali da costruzione</w:t>
      </w:r>
    </w:p>
    <w:p w:rsidR="000A4384" w:rsidRDefault="000A4384">
      <w:pPr>
        <w:rPr>
          <w:color w:val="343434"/>
        </w:rPr>
      </w:pPr>
      <w:r>
        <w:rPr>
          <w:color w:val="343434"/>
        </w:rPr>
        <w:t>L'impatto del settore edile. Impatto ambientale delle attività di costruzione: consumo di materie prime, inquinamento e produzione di rifiuti, consumo di energia, deforestazione, cambiamento climatico, degrado del territorio, estrazione di sabbia, esaurimento delle risorse non rinnovabili.</w:t>
      </w:r>
    </w:p>
    <w:p w:rsidR="000A4384" w:rsidRDefault="000A4384">
      <w:pPr>
        <w:rPr>
          <w:color w:val="343434"/>
        </w:rPr>
      </w:pPr>
      <w:r>
        <w:rPr>
          <w:color w:val="343434"/>
        </w:rPr>
        <w:t>Produzione di carbonio nella produzione di materiali da costruzione. Impronta di carbonio dei materiali da costruzione e dei database.</w:t>
      </w:r>
    </w:p>
    <w:p w:rsidR="000A4384" w:rsidRDefault="000A4384">
      <w:pPr>
        <w:rPr>
          <w:color w:val="343434"/>
        </w:rPr>
      </w:pPr>
      <w:r>
        <w:rPr>
          <w:color w:val="343434"/>
        </w:rPr>
        <w:t>Energia incorporata nei materiali da costruzione. Parametri e analisi dell'energia incorporata. Database dell'energia incorporata dei materiali da costruzione.</w:t>
      </w:r>
    </w:p>
    <w:p w:rsidR="000A4384" w:rsidRDefault="000A4384">
      <w:pPr>
        <w:spacing w:after="0"/>
        <w:rPr>
          <w:color w:val="343434"/>
        </w:rPr>
      </w:pPr>
    </w:p>
    <w:p w:rsidR="000A4384" w:rsidRDefault="000A4384">
      <w:pPr>
        <w:rPr>
          <w:color w:val="343434"/>
        </w:rPr>
      </w:pPr>
      <w:r>
        <w:rPr>
          <w:color w:val="80A509"/>
          <w:sz w:val="32"/>
          <w:szCs w:val="32"/>
        </w:rPr>
        <w:t>Modulo 2: Valutazione del ciclo di vita dei materiali da costruzione</w:t>
      </w:r>
    </w:p>
    <w:p w:rsidR="000F456C" w:rsidRDefault="000A4384">
      <w:pPr>
        <w:rPr>
          <w:color w:val="343434"/>
        </w:rPr>
      </w:pPr>
      <w:r>
        <w:rPr>
          <w:color w:val="343434"/>
        </w:rPr>
        <w:lastRenderedPageBreak/>
        <w:t xml:space="preserve">Life Cycle Thinking per i materiali da costruzione. Identificare gli impatti chiave e gli approcci di mitigazione per la </w:t>
      </w:r>
    </w:p>
    <w:p w:rsidR="000F456C" w:rsidRDefault="000F456C">
      <w:pPr>
        <w:rPr>
          <w:color w:val="343434"/>
        </w:rPr>
      </w:pPr>
    </w:p>
    <w:p w:rsidR="000F456C" w:rsidRDefault="000F456C">
      <w:pPr>
        <w:rPr>
          <w:color w:val="343434"/>
        </w:rPr>
      </w:pPr>
    </w:p>
    <w:p w:rsidR="000A4384" w:rsidRDefault="000A4384">
      <w:pPr>
        <w:rPr>
          <w:color w:val="343434"/>
        </w:rPr>
      </w:pPr>
      <w:r>
        <w:rPr>
          <w:color w:val="343434"/>
        </w:rPr>
        <w:t>valutazione dei materiali da costruzione. Diagramma concettuale del ciclo di vita dei materiali da costruzione.</w:t>
      </w:r>
    </w:p>
    <w:p w:rsidR="000A4384" w:rsidRDefault="000A4384">
      <w:pPr>
        <w:rPr>
          <w:color w:val="343434"/>
        </w:rPr>
      </w:pPr>
      <w:r>
        <w:rPr>
          <w:color w:val="343434"/>
        </w:rPr>
        <w:t>Approcci del Life Cycle Costing. Le categorie di costo possono essere incluse in un'analisi del costo del ciclo di vita. Il costo del ciclo di vita negli appalti.</w:t>
      </w:r>
    </w:p>
    <w:p w:rsidR="000A4384" w:rsidRDefault="000A4384" w:rsidP="001B5094">
      <w:pPr>
        <w:rPr>
          <w:color w:val="343434"/>
        </w:rPr>
      </w:pPr>
      <w:r>
        <w:rPr>
          <w:color w:val="343434"/>
        </w:rPr>
        <w:t xml:space="preserve">Progettazione dell'edificio e scelta dei materiali. Principio di valutazione del ciclo di vita nella catena del valore dei materiali da costruzione come strumento per la valutazione degli </w:t>
      </w:r>
      <w:r w:rsidR="001B5094">
        <w:rPr>
          <w:color w:val="343434"/>
        </w:rPr>
        <w:t>aspetti spaziali e temporali</w:t>
      </w:r>
      <w:r w:rsidR="000F456C">
        <w:rPr>
          <w:color w:val="343434"/>
        </w:rPr>
        <w:t>.</w:t>
      </w:r>
    </w:p>
    <w:p w:rsidR="000F456C" w:rsidRDefault="000F456C" w:rsidP="001B5094">
      <w:pPr>
        <w:rPr>
          <w:color w:val="auto"/>
          <w:kern w:val="0"/>
          <w:sz w:val="24"/>
          <w:szCs w:val="24"/>
        </w:rPr>
      </w:pPr>
    </w:p>
    <w:p w:rsidR="000A4384" w:rsidRDefault="000A4384">
      <w:pPr>
        <w:pStyle w:val="Corpotesto"/>
      </w:pPr>
      <w:r>
        <w:rPr>
          <w:color w:val="80A509"/>
          <w:sz w:val="32"/>
          <w:szCs w:val="32"/>
        </w:rPr>
        <w:t>Modulo 3: Norme UE ed etichettatura dei materiali da costruzione</w:t>
      </w:r>
    </w:p>
    <w:p w:rsidR="000A4384" w:rsidRDefault="000A4384">
      <w:pPr>
        <w:pStyle w:val="Corpotesto"/>
      </w:pPr>
      <w:r>
        <w:t>Il ruolo dei materiali da costruzione green nei processi di green procurement</w:t>
      </w:r>
    </w:p>
    <w:p w:rsidR="000A4384" w:rsidRDefault="000A4384">
      <w:pPr>
        <w:pStyle w:val="Corpotesto"/>
      </w:pPr>
      <w:r>
        <w:t>Concetto di ECO Labeling e tipologie di etichette ecologiche .</w:t>
      </w:r>
    </w:p>
    <w:p w:rsidR="000A4384" w:rsidRDefault="000A4384">
      <w:pPr>
        <w:pStyle w:val="Corpotesto"/>
      </w:pPr>
      <w:r>
        <w:t>Standard UE per l'etichettatura ecologica e quadro giuridico. Etichetta ecologica UE .</w:t>
      </w:r>
    </w:p>
    <w:p w:rsidR="000F456C" w:rsidRDefault="000F456C">
      <w:pPr>
        <w:pStyle w:val="Corpotesto"/>
        <w:rPr>
          <w:color w:val="80A509"/>
          <w:sz w:val="32"/>
          <w:szCs w:val="32"/>
        </w:rPr>
      </w:pPr>
    </w:p>
    <w:p w:rsidR="000A4384" w:rsidRDefault="000A4384">
      <w:pPr>
        <w:pStyle w:val="Corpotesto"/>
        <w:rPr>
          <w:color w:val="80A509"/>
          <w:sz w:val="32"/>
          <w:szCs w:val="32"/>
        </w:rPr>
      </w:pPr>
      <w:r>
        <w:rPr>
          <w:color w:val="80A509"/>
          <w:sz w:val="32"/>
          <w:szCs w:val="32"/>
        </w:rPr>
        <w:t>Modulo 4: Consapevolezza dei nuovi materiali da costruzione sostenibili</w:t>
      </w:r>
    </w:p>
    <w:p w:rsidR="000A4384" w:rsidRDefault="000A4384" w:rsidP="00863233">
      <w:pPr>
        <w:pStyle w:val="Corpotesto"/>
        <w:jc w:val="both"/>
      </w:pPr>
      <w:r>
        <w:t>Il concetto di edilizia sostenibile. Materiali da costruzione e sostenibilità. Il ruolo del concetto LCA e la sua applicazione nelle costruzioni. Nuovi materiali da costruzione sostenibili.</w:t>
      </w:r>
    </w:p>
    <w:p w:rsidR="000A4384" w:rsidRDefault="000A4384" w:rsidP="00863233">
      <w:pPr>
        <w:pStyle w:val="Corpotesto"/>
        <w:jc w:val="both"/>
      </w:pPr>
      <w:r>
        <w:t>Gestione ambientale e strategie per il riutilizzo e il riciclo dei materiali da costruzione. Impatti dei rifiuti edili. Materiali da costruzione economici e riutilizzabili.</w:t>
      </w:r>
    </w:p>
    <w:p w:rsidR="000A4384" w:rsidRDefault="000A4384" w:rsidP="00863233">
      <w:pPr>
        <w:pStyle w:val="Corpotesto"/>
        <w:jc w:val="both"/>
        <w:rPr>
          <w:color w:val="auto"/>
          <w:kern w:val="0"/>
          <w:sz w:val="24"/>
          <w:szCs w:val="24"/>
        </w:rPr>
        <w:sectPr w:rsidR="000A4384">
          <w:type w:val="continuous"/>
          <w:pgSz w:w="12240" w:h="15840"/>
          <w:pgMar w:top="1440" w:right="1440" w:bottom="1440" w:left="1440" w:header="720" w:footer="720" w:gutter="0"/>
          <w:cols w:space="720"/>
          <w:noEndnote/>
        </w:sectPr>
      </w:pPr>
      <w:r>
        <w:t>Edifici efficienti dal punto di vista energetico: Direttiva sulla prestazione energetica nell'edilizia, Strategie di ristrutturazione a lungo termine, Edifici a energia quasi zero. Certificati e ispezioni. Concetto di bioedilizia</w:t>
      </w:r>
    </w:p>
    <w:p w:rsidR="000A4384" w:rsidRDefault="000A4384">
      <w:pPr>
        <w:overflowPunct/>
        <w:spacing w:after="0" w:line="240" w:lineRule="auto"/>
        <w:rPr>
          <w:color w:val="auto"/>
          <w:kern w:val="0"/>
          <w:sz w:val="24"/>
          <w:szCs w:val="24"/>
        </w:rPr>
        <w:sectPr w:rsidR="000A4384">
          <w:type w:val="continuous"/>
          <w:pgSz w:w="12240" w:h="15840"/>
          <w:pgMar w:top="1440" w:right="1440" w:bottom="1440" w:left="1440" w:header="720" w:footer="720" w:gutter="0"/>
          <w:cols w:space="720"/>
          <w:noEndnote/>
        </w:sectPr>
      </w:pPr>
    </w:p>
    <w:p w:rsidR="000A4384" w:rsidRDefault="000A4384" w:rsidP="001B5094">
      <w:pPr>
        <w:pStyle w:val="Titolo1"/>
        <w:spacing w:before="120" w:line="204" w:lineRule="auto"/>
      </w:pPr>
      <w:r>
        <w:t>Prossimi passi</w:t>
      </w:r>
    </w:p>
    <w:p w:rsidR="000A4384" w:rsidRDefault="000A4384" w:rsidP="00863233">
      <w:pPr>
        <w:jc w:val="both"/>
        <w:rPr>
          <w:color w:val="343434"/>
        </w:rPr>
      </w:pPr>
      <w:r>
        <w:rPr>
          <w:color w:val="343434"/>
        </w:rPr>
        <w:t>Raggiungere il prossimo obiettivo del progetto: sviluppare attività di formazione per sviluppare competenze verdi nel processo decisionale sostenibile nei progetti di costruzione e nell’implementazione di strategie sui materiali che riducano le emissioni di carbonio del ciclo di vita, che insieme ridurranno sia la domanda di energia che le emissioni.</w:t>
      </w:r>
    </w:p>
    <w:p w:rsidR="000A4384" w:rsidRDefault="000A4384" w:rsidP="00863233">
      <w:pPr>
        <w:jc w:val="both"/>
        <w:rPr>
          <w:color w:val="343434"/>
        </w:rPr>
      </w:pPr>
      <w:r>
        <w:rPr>
          <w:color w:val="343434"/>
        </w:rPr>
        <w:t xml:space="preserve">L’obiettivo sarà raggiunto facilitando l’accesso a opportunità di apprendimento di alta qualità prevedendo l’offerta di opportunità di apprendimento virtuale, digitale e misto, favorendo la condivisione di informazioni, l’apprendimento reciproco e l’esperienza reciproca. Il risultato sarà la modernizzazione del settore dell’IFP per soddisfare le tendenze </w:t>
      </w:r>
      <w:r>
        <w:rPr>
          <w:color w:val="343434"/>
        </w:rPr>
        <w:lastRenderedPageBreak/>
        <w:t>sopra menzionate e le esigenze di competenze settoriali verdi derivanti dal mercato del lavoro.</w:t>
      </w:r>
    </w:p>
    <w:p w:rsidR="000F456C" w:rsidRDefault="000F456C" w:rsidP="00863233">
      <w:pPr>
        <w:jc w:val="both"/>
        <w:rPr>
          <w:color w:val="343434"/>
        </w:rPr>
      </w:pPr>
    </w:p>
    <w:p w:rsidR="000F456C" w:rsidRDefault="000F456C" w:rsidP="00863233">
      <w:pPr>
        <w:jc w:val="both"/>
        <w:rPr>
          <w:color w:val="343434"/>
        </w:rPr>
      </w:pPr>
    </w:p>
    <w:p w:rsidR="000A4384" w:rsidRDefault="000A4384" w:rsidP="00863233">
      <w:pPr>
        <w:jc w:val="both"/>
        <w:rPr>
          <w:color w:val="343434"/>
        </w:rPr>
      </w:pPr>
      <w:r>
        <w:rPr>
          <w:color w:val="343434"/>
        </w:rPr>
        <w:t>Troverai dettagli più approfonditi sull'approccio del progetto nello sviluppo della piattaforma di e-learning nel prossimo numero della newsletter del progetto che sarà pubblicata a marzo 2024.</w:t>
      </w:r>
    </w:p>
    <w:p w:rsidR="000A4384" w:rsidRDefault="000A4384">
      <w:pPr>
        <w:pStyle w:val="Titolo2"/>
      </w:pPr>
      <w:r>
        <w:t>Motivazione di fondo</w:t>
      </w:r>
    </w:p>
    <w:p w:rsidR="000A4384" w:rsidRDefault="000A4384" w:rsidP="00863233">
      <w:pPr>
        <w:jc w:val="both"/>
        <w:rPr>
          <w:color w:val="auto"/>
          <w:kern w:val="0"/>
          <w:sz w:val="24"/>
          <w:szCs w:val="24"/>
        </w:rPr>
      </w:pPr>
      <w:r>
        <w:rPr>
          <w:color w:val="343434"/>
        </w:rPr>
        <w:t>Creare una nuova generazione di stakeholder chiave che contribuiscano positivamente agli obiettivi energetici e di cambiamento climatico, che contribuiranno ad aumentare la consapevolezza sull’impatto ambientale dei materiali da costruzione insieme ai prodotti sostenibili provenienti da materie prime riciclate e secondarie.</w:t>
      </w:r>
    </w:p>
    <w:p w:rsidR="000A4384" w:rsidRDefault="000A4384" w:rsidP="00863233">
      <w:pPr>
        <w:overflowPunct/>
        <w:spacing w:after="0" w:line="240" w:lineRule="auto"/>
        <w:jc w:val="both"/>
        <w:rPr>
          <w:color w:val="auto"/>
          <w:kern w:val="0"/>
          <w:sz w:val="24"/>
          <w:szCs w:val="24"/>
        </w:rPr>
        <w:sectPr w:rsidR="000A4384">
          <w:type w:val="continuous"/>
          <w:pgSz w:w="12240" w:h="15840"/>
          <w:pgMar w:top="1440" w:right="1440" w:bottom="1440" w:left="1440" w:header="720" w:footer="720" w:gutter="0"/>
          <w:cols w:space="720"/>
          <w:noEndnote/>
        </w:sectPr>
      </w:pPr>
    </w:p>
    <w:p w:rsidR="000A4384" w:rsidRDefault="000A4384" w:rsidP="00863233">
      <w:pPr>
        <w:spacing w:after="0" w:line="240" w:lineRule="auto"/>
        <w:jc w:val="both"/>
      </w:pPr>
      <w:r>
        <w:t>QUESTIONI EDILIZIE: mitigare i rischi di transizione legati al cambiamento climatico nel settore edile attraverso lo sviluppo di capacità nell’ambito dei materiali da costruzione sostenibili</w:t>
      </w:r>
    </w:p>
    <w:p w:rsidR="000A4384" w:rsidRDefault="000A4384">
      <w:pPr>
        <w:spacing w:after="0" w:line="240" w:lineRule="auto"/>
      </w:pPr>
    </w:p>
    <w:p w:rsidR="000A4384" w:rsidRDefault="000A4384">
      <w:pPr>
        <w:spacing w:after="0" w:line="240" w:lineRule="auto"/>
      </w:pPr>
      <w:r>
        <w:t>Convenzione di sovvenzione: 2022-1-RO01-KA220-VET-000087398</w:t>
      </w:r>
    </w:p>
    <w:p w:rsidR="000A4384" w:rsidRDefault="000A4384">
      <w:pPr>
        <w:spacing w:after="0" w:line="240" w:lineRule="auto"/>
      </w:pPr>
    </w:p>
    <w:p w:rsidR="000A4384" w:rsidRDefault="000A4384">
      <w:pPr>
        <w:spacing w:after="0" w:line="240" w:lineRule="auto"/>
      </w:pPr>
      <w:r>
        <w:t>DISCLAIMER</w:t>
      </w:r>
    </w:p>
    <w:p w:rsidR="000A4384" w:rsidRDefault="000A4384" w:rsidP="001B5094">
      <w:pPr>
        <w:spacing w:after="0" w:line="240" w:lineRule="auto"/>
        <w:rPr>
          <w:color w:val="auto"/>
          <w:kern w:val="0"/>
          <w:sz w:val="24"/>
          <w:szCs w:val="24"/>
        </w:rPr>
        <w:sectPr w:rsidR="000A4384">
          <w:type w:val="continuous"/>
          <w:pgSz w:w="12240" w:h="15840"/>
          <w:pgMar w:top="1440" w:right="1440" w:bottom="1440" w:left="1440" w:header="720" w:footer="720" w:gutter="0"/>
          <w:cols w:space="720"/>
          <w:noEndnote/>
        </w:sectPr>
      </w:pPr>
      <w:r>
        <w:t>“Il sostegno della Commissione Europea alla produzione di questa pubblicazione non costituisce un’approvazione dei contenuti che riflettono solo il punto di vista degli autori, e l’Agenzia Nazionale e la Commissione non possono essere ritenute responsabili per qualsiasi uso che possa essere fatto delle informazioni in essa contenute "</w:t>
      </w:r>
    </w:p>
    <w:p w:rsidR="00DE4688" w:rsidRDefault="00DE4688" w:rsidP="001B5094">
      <w:pPr>
        <w:pStyle w:val="Pidipagina"/>
        <w:widowControl/>
        <w:spacing w:line="240" w:lineRule="auto"/>
      </w:pPr>
    </w:p>
    <w:sectPr w:rsidR="00DE4688" w:rsidSect="000A4384">
      <w:type w:val="continuous"/>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5507" w:rsidRDefault="00145507" w:rsidP="000761C9">
      <w:pPr>
        <w:spacing w:after="0" w:line="240" w:lineRule="auto"/>
      </w:pPr>
      <w:r>
        <w:separator/>
      </w:r>
    </w:p>
  </w:endnote>
  <w:endnote w:type="continuationSeparator" w:id="0">
    <w:p w:rsidR="00145507" w:rsidRDefault="00145507" w:rsidP="0007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5507" w:rsidRDefault="00145507" w:rsidP="000761C9">
      <w:pPr>
        <w:spacing w:after="0" w:line="240" w:lineRule="auto"/>
      </w:pPr>
      <w:r>
        <w:separator/>
      </w:r>
    </w:p>
  </w:footnote>
  <w:footnote w:type="continuationSeparator" w:id="0">
    <w:p w:rsidR="00145507" w:rsidRDefault="00145507" w:rsidP="0007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61C9" w:rsidRDefault="000761C9">
    <w:pPr>
      <w:pStyle w:val="Intestazione"/>
    </w:pPr>
    <w:r>
      <w:rPr>
        <w:noProof/>
      </w:rPr>
      <w:drawing>
        <wp:inline distT="0" distB="0" distL="0" distR="0" wp14:anchorId="4CB6D4C0" wp14:editId="094005C8">
          <wp:extent cx="2517775" cy="511810"/>
          <wp:effectExtent l="0" t="0" r="0" b="2540"/>
          <wp:docPr id="4" name="image2.png"/>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a:srcRect/>
                  <a:stretch>
                    <a:fillRect/>
                  </a:stretch>
                </pic:blipFill>
                <pic:spPr>
                  <a:xfrm>
                    <a:off x="0" y="0"/>
                    <a:ext cx="2517775" cy="511810"/>
                  </a:xfrm>
                  <a:prstGeom prst="rect">
                    <a:avLst/>
                  </a:prstGeom>
                  <a:ln/>
                </pic:spPr>
              </pic:pic>
            </a:graphicData>
          </a:graphic>
        </wp:inline>
      </w:drawing>
    </w:r>
    <w:r w:rsidR="000F456C">
      <w:t xml:space="preserve">                                                        </w:t>
    </w:r>
    <w:r w:rsidR="000F456C">
      <w:rPr>
        <w:noProof/>
      </w:rPr>
      <w:drawing>
        <wp:inline distT="0" distB="0" distL="0" distR="0" wp14:anchorId="213561E3" wp14:editId="469CDEEB">
          <wp:extent cx="1511300" cy="678815"/>
          <wp:effectExtent l="0" t="0" r="0" b="6985"/>
          <wp:docPr id="5" name="image1.png"/>
          <wp:cNvGraphicFramePr/>
          <a:graphic xmlns:a="http://schemas.openxmlformats.org/drawingml/2006/main">
            <a:graphicData uri="http://schemas.openxmlformats.org/drawingml/2006/picture">
              <pic:pic xmlns:pic="http://schemas.openxmlformats.org/drawingml/2006/picture">
                <pic:nvPicPr>
                  <pic:cNvPr id="5" name="image1.png"/>
                  <pic:cNvPicPr/>
                </pic:nvPicPr>
                <pic:blipFill>
                  <a:blip r:embed="rId2"/>
                  <a:srcRect/>
                  <a:stretch>
                    <a:fillRect/>
                  </a:stretch>
                </pic:blipFill>
                <pic:spPr>
                  <a:xfrm>
                    <a:off x="0" y="0"/>
                    <a:ext cx="1511300" cy="67881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C64CF7BE"/>
    <w:lvl w:ilvl="0">
      <w:start w:val="1"/>
      <w:numFmt w:val="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384"/>
    <w:rsid w:val="000761C9"/>
    <w:rsid w:val="000A4384"/>
    <w:rsid w:val="000F456C"/>
    <w:rsid w:val="00145507"/>
    <w:rsid w:val="00153AF6"/>
    <w:rsid w:val="001B5094"/>
    <w:rsid w:val="00863233"/>
    <w:rsid w:val="00AA7714"/>
    <w:rsid w:val="00DE4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5B02D55E-E131-4D30-A3ED-53636BC49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widowControl w:val="0"/>
      <w:overflowPunct w:val="0"/>
      <w:autoSpaceDE w:val="0"/>
      <w:autoSpaceDN w:val="0"/>
      <w:adjustRightInd w:val="0"/>
      <w:spacing w:after="200" w:line="300" w:lineRule="auto"/>
    </w:pPr>
    <w:rPr>
      <w:rFonts w:ascii="Arial" w:hAnsi="Arial" w:cs="Arial"/>
      <w:color w:val="4D4D4D"/>
      <w:kern w:val="28"/>
      <w:sz w:val="18"/>
      <w:szCs w:val="18"/>
      <w:lang w:val="it" w:eastAsia="en-US"/>
    </w:rPr>
  </w:style>
  <w:style w:type="paragraph" w:styleId="Titolo1">
    <w:name w:val="heading 1"/>
    <w:basedOn w:val="Normale"/>
    <w:link w:val="Titolo1Carattere"/>
    <w:uiPriority w:val="99"/>
    <w:qFormat/>
    <w:pPr>
      <w:spacing w:before="240" w:after="120" w:line="203" w:lineRule="auto"/>
      <w:outlineLvl w:val="0"/>
    </w:pPr>
    <w:rPr>
      <w:b/>
      <w:bCs/>
      <w:color w:val="1C1C1C"/>
      <w:sz w:val="44"/>
      <w:szCs w:val="44"/>
    </w:rPr>
  </w:style>
  <w:style w:type="paragraph" w:styleId="Titolo2">
    <w:name w:val="heading 2"/>
    <w:basedOn w:val="Normale"/>
    <w:link w:val="Titolo2Carattere"/>
    <w:uiPriority w:val="99"/>
    <w:qFormat/>
    <w:pPr>
      <w:spacing w:before="160" w:after="120" w:line="240" w:lineRule="auto"/>
      <w:outlineLvl w:val="1"/>
    </w:pPr>
    <w:rPr>
      <w:color w:val="80A509"/>
      <w:sz w:val="32"/>
      <w:szCs w:val="32"/>
    </w:rPr>
  </w:style>
  <w:style w:type="paragraph" w:styleId="Titolo3">
    <w:name w:val="heading 3"/>
    <w:basedOn w:val="Normale"/>
    <w:link w:val="Titolo3Carattere"/>
    <w:uiPriority w:val="99"/>
    <w:qFormat/>
    <w:pPr>
      <w:spacing w:line="240" w:lineRule="auto"/>
      <w:outlineLvl w:val="2"/>
    </w:pPr>
    <w:rPr>
      <w:b/>
      <w:bCs/>
      <w:color w:val="FFFFF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uiPriority w:val="99"/>
    <w:qFormat/>
    <w:pPr>
      <w:spacing w:after="0" w:line="264" w:lineRule="auto"/>
    </w:pPr>
    <w:rPr>
      <w:b/>
      <w:bCs/>
      <w:caps/>
      <w:color w:val="80A509"/>
      <w:sz w:val="128"/>
      <w:szCs w:val="128"/>
    </w:rPr>
  </w:style>
  <w:style w:type="character" w:customStyle="1" w:styleId="TitoloCarattere">
    <w:name w:val="Titolo Carattere"/>
    <w:link w:val="Titolo"/>
    <w:uiPriority w:val="10"/>
    <w:rsid w:val="000A4384"/>
    <w:rPr>
      <w:rFonts w:ascii="Calibri Light" w:eastAsia="Times New Roman" w:hAnsi="Calibri Light" w:cs="Times New Roman"/>
      <w:b/>
      <w:bCs/>
      <w:color w:val="4D4D4D"/>
      <w:kern w:val="28"/>
      <w:sz w:val="32"/>
      <w:szCs w:val="32"/>
    </w:rPr>
  </w:style>
  <w:style w:type="paragraph" w:customStyle="1" w:styleId="PullQuote">
    <w:name w:val="Pull Quote"/>
    <w:basedOn w:val="Normale"/>
    <w:uiPriority w:val="99"/>
    <w:pPr>
      <w:spacing w:line="360" w:lineRule="auto"/>
    </w:pPr>
    <w:rPr>
      <w:i/>
      <w:iCs/>
      <w:color w:val="80A509"/>
      <w:sz w:val="24"/>
      <w:szCs w:val="24"/>
    </w:rPr>
  </w:style>
  <w:style w:type="character" w:customStyle="1" w:styleId="Titolo3Carattere">
    <w:name w:val="Titolo 3 Carattere"/>
    <w:link w:val="Titolo3"/>
    <w:uiPriority w:val="9"/>
    <w:semiHidden/>
    <w:rsid w:val="000A4384"/>
    <w:rPr>
      <w:rFonts w:ascii="Calibri Light" w:eastAsia="Times New Roman" w:hAnsi="Calibri Light" w:cs="Times New Roman"/>
      <w:b/>
      <w:bCs/>
      <w:color w:val="4D4D4D"/>
      <w:kern w:val="28"/>
      <w:sz w:val="26"/>
      <w:szCs w:val="26"/>
    </w:rPr>
  </w:style>
  <w:style w:type="paragraph" w:styleId="Puntoelenco">
    <w:name w:val="List Bullet"/>
    <w:basedOn w:val="Normale"/>
    <w:uiPriority w:val="99"/>
    <w:pPr>
      <w:spacing w:line="264" w:lineRule="auto"/>
      <w:ind w:left="216" w:hanging="216"/>
    </w:pPr>
    <w:rPr>
      <w:color w:val="FFFFFF"/>
      <w:sz w:val="22"/>
      <w:szCs w:val="22"/>
    </w:rPr>
  </w:style>
  <w:style w:type="character" w:customStyle="1" w:styleId="Titolo1Carattere">
    <w:name w:val="Titolo 1 Carattere"/>
    <w:link w:val="Titolo1"/>
    <w:uiPriority w:val="9"/>
    <w:rsid w:val="000A4384"/>
    <w:rPr>
      <w:rFonts w:ascii="Calibri Light" w:eastAsia="Times New Roman" w:hAnsi="Calibri Light" w:cs="Times New Roman"/>
      <w:b/>
      <w:bCs/>
      <w:color w:val="4D4D4D"/>
      <w:kern w:val="32"/>
      <w:sz w:val="32"/>
      <w:szCs w:val="32"/>
    </w:rPr>
  </w:style>
  <w:style w:type="paragraph" w:styleId="Corpotesto">
    <w:name w:val="Body Text"/>
    <w:basedOn w:val="Normale"/>
    <w:link w:val="CorpotestoCarattere"/>
    <w:uiPriority w:val="99"/>
  </w:style>
  <w:style w:type="character" w:customStyle="1" w:styleId="CorpotestoCarattere">
    <w:name w:val="Corpo testo Carattere"/>
    <w:link w:val="Corpotesto"/>
    <w:uiPriority w:val="99"/>
    <w:semiHidden/>
    <w:rsid w:val="000A4384"/>
    <w:rPr>
      <w:rFonts w:ascii="Arial" w:hAnsi="Arial" w:cs="Arial"/>
      <w:color w:val="4D4D4D"/>
      <w:kern w:val="28"/>
      <w:sz w:val="18"/>
      <w:szCs w:val="18"/>
    </w:rPr>
  </w:style>
  <w:style w:type="character" w:customStyle="1" w:styleId="Titolo2Carattere">
    <w:name w:val="Titolo 2 Carattere"/>
    <w:link w:val="Titolo2"/>
    <w:uiPriority w:val="9"/>
    <w:semiHidden/>
    <w:rsid w:val="000A4384"/>
    <w:rPr>
      <w:rFonts w:ascii="Calibri Light" w:eastAsia="Times New Roman" w:hAnsi="Calibri Light" w:cs="Times New Roman"/>
      <w:b/>
      <w:bCs/>
      <w:i/>
      <w:iCs/>
      <w:color w:val="4D4D4D"/>
      <w:kern w:val="28"/>
      <w:sz w:val="28"/>
      <w:szCs w:val="28"/>
    </w:rPr>
  </w:style>
  <w:style w:type="paragraph" w:customStyle="1" w:styleId="unknownstyle">
    <w:name w:val="unknown style"/>
    <w:uiPriority w:val="99"/>
    <w:pPr>
      <w:widowControl w:val="0"/>
      <w:overflowPunct w:val="0"/>
      <w:autoSpaceDE w:val="0"/>
      <w:autoSpaceDN w:val="0"/>
      <w:adjustRightInd w:val="0"/>
      <w:spacing w:line="300" w:lineRule="auto"/>
    </w:pPr>
    <w:rPr>
      <w:rFonts w:ascii="Arial" w:hAnsi="Arial" w:cs="Arial"/>
      <w:b/>
      <w:bCs/>
      <w:color w:val="1C1C1C"/>
      <w:kern w:val="28"/>
      <w:sz w:val="18"/>
      <w:szCs w:val="18"/>
      <w:lang w:val="it" w:eastAsia="en-US"/>
    </w:rPr>
  </w:style>
  <w:style w:type="paragraph" w:customStyle="1" w:styleId="unknownstyle3">
    <w:name w:val="unknown style3"/>
    <w:uiPriority w:val="99"/>
    <w:pPr>
      <w:widowControl w:val="0"/>
      <w:overflowPunct w:val="0"/>
      <w:autoSpaceDE w:val="0"/>
      <w:autoSpaceDN w:val="0"/>
      <w:adjustRightInd w:val="0"/>
    </w:pPr>
    <w:rPr>
      <w:rFonts w:ascii="Arial" w:hAnsi="Arial" w:cs="Arial"/>
      <w:b/>
      <w:bCs/>
      <w:color w:val="FFFFFF"/>
      <w:kern w:val="28"/>
      <w:sz w:val="16"/>
      <w:szCs w:val="16"/>
      <w:lang w:val="it" w:eastAsia="en-US"/>
    </w:rPr>
  </w:style>
  <w:style w:type="paragraph" w:customStyle="1" w:styleId="unknownstyle2">
    <w:name w:val="unknown style2"/>
    <w:uiPriority w:val="99"/>
    <w:pPr>
      <w:widowControl w:val="0"/>
      <w:overflowPunct w:val="0"/>
      <w:autoSpaceDE w:val="0"/>
      <w:autoSpaceDN w:val="0"/>
      <w:adjustRightInd w:val="0"/>
      <w:jc w:val="right"/>
    </w:pPr>
    <w:rPr>
      <w:rFonts w:ascii="Arial Black" w:hAnsi="Arial Black" w:cs="Arial Black"/>
      <w:color w:val="FFFFFF"/>
      <w:kern w:val="28"/>
      <w:sz w:val="16"/>
      <w:szCs w:val="16"/>
      <w:lang w:val="it" w:eastAsia="en-US"/>
    </w:rPr>
  </w:style>
  <w:style w:type="paragraph" w:customStyle="1" w:styleId="unknownstyle1">
    <w:name w:val="unknown style1"/>
    <w:uiPriority w:val="99"/>
    <w:pPr>
      <w:widowControl w:val="0"/>
      <w:overflowPunct w:val="0"/>
      <w:autoSpaceDE w:val="0"/>
      <w:autoSpaceDN w:val="0"/>
      <w:adjustRightInd w:val="0"/>
      <w:spacing w:after="200" w:line="276" w:lineRule="auto"/>
    </w:pPr>
    <w:rPr>
      <w:rFonts w:ascii="Arial" w:hAnsi="Arial" w:cs="Arial"/>
      <w:color w:val="FFFFFF"/>
      <w:kern w:val="28"/>
      <w:lang w:val="it" w:eastAsia="en-US"/>
    </w:rPr>
  </w:style>
  <w:style w:type="paragraph" w:styleId="Pidipagina">
    <w:name w:val="footer"/>
    <w:basedOn w:val="Normale"/>
    <w:link w:val="PidipaginaCarattere"/>
    <w:uiPriority w:val="99"/>
    <w:pPr>
      <w:tabs>
        <w:tab w:val="center" w:pos="4680"/>
        <w:tab w:val="right" w:pos="9360"/>
      </w:tabs>
      <w:spacing w:after="0" w:line="256" w:lineRule="auto"/>
    </w:pPr>
    <w:rPr>
      <w:rFonts w:ascii="Calibri" w:hAnsi="Calibri" w:cs="Calibri"/>
      <w:kern w:val="2"/>
      <w:sz w:val="22"/>
      <w:szCs w:val="22"/>
    </w:rPr>
  </w:style>
  <w:style w:type="character" w:customStyle="1" w:styleId="PidipaginaCarattere">
    <w:name w:val="Piè di pagina Carattere"/>
    <w:link w:val="Pidipagina"/>
    <w:uiPriority w:val="99"/>
    <w:semiHidden/>
    <w:rsid w:val="000A4384"/>
    <w:rPr>
      <w:rFonts w:ascii="Arial" w:hAnsi="Arial" w:cs="Arial"/>
      <w:color w:val="4D4D4D"/>
      <w:kern w:val="28"/>
      <w:sz w:val="18"/>
      <w:szCs w:val="18"/>
    </w:rPr>
  </w:style>
  <w:style w:type="paragraph" w:styleId="Intestazione">
    <w:name w:val="header"/>
    <w:basedOn w:val="Normale"/>
    <w:link w:val="IntestazioneCarattere"/>
    <w:uiPriority w:val="99"/>
    <w:unhideWhenUsed/>
    <w:rsid w:val="000761C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761C9"/>
    <w:rPr>
      <w:rFonts w:ascii="Arial" w:hAnsi="Arial" w:cs="Arial"/>
      <w:color w:val="4D4D4D"/>
      <w:kern w:val="28"/>
      <w:sz w:val="18"/>
      <w:szCs w:val="18"/>
      <w:lang w:val="i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c194a65-0b87-4cec-8d27-ba7eef3d19f2" xsi:nil="true"/>
    <lcf76f155ced4ddcb4097134ff3c332f xmlns="f9f72dca-bea9-4130-b3fb-ac9ed8015cc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94FB201D960E24394987335AEF67F9C" ma:contentTypeVersion="12" ma:contentTypeDescription="Create a new document." ma:contentTypeScope="" ma:versionID="698750916993d751c909f1296d7c9d62">
  <xsd:schema xmlns:xsd="http://www.w3.org/2001/XMLSchema" xmlns:xs="http://www.w3.org/2001/XMLSchema" xmlns:p="http://schemas.microsoft.com/office/2006/metadata/properties" xmlns:ns2="f9f72dca-bea9-4130-b3fb-ac9ed8015cc0" xmlns:ns3="dc194a65-0b87-4cec-8d27-ba7eef3d19f2" targetNamespace="http://schemas.microsoft.com/office/2006/metadata/properties" ma:root="true" ma:fieldsID="294c1a959e632511b10e0b4e8b4bc72a" ns2:_="" ns3:_="">
    <xsd:import namespace="f9f72dca-bea9-4130-b3fb-ac9ed8015cc0"/>
    <xsd:import namespace="dc194a65-0b87-4cec-8d27-ba7eef3d19f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f72dca-bea9-4130-b3fb-ac9ed8015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4e670e0-036f-40c5-a94b-014558db02e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194a65-0b87-4cec-8d27-ba7eef3d19f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cc3f56d-11a0-48b5-8ca2-6557215d982b}" ma:internalName="TaxCatchAll" ma:showField="CatchAllData" ma:web="dc194a65-0b87-4cec-8d27-ba7eef3d19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549097-9B81-4210-A384-4E72F9C0D783}">
  <ds:schemaRefs>
    <ds:schemaRef ds:uri="http://schemas.microsoft.com/sharepoint/v3/contenttype/forms"/>
  </ds:schemaRefs>
</ds:datastoreItem>
</file>

<file path=customXml/itemProps2.xml><?xml version="1.0" encoding="utf-8"?>
<ds:datastoreItem xmlns:ds="http://schemas.openxmlformats.org/officeDocument/2006/customXml" ds:itemID="{0A8AEE08-CD38-486B-B945-A0686FE6ACFF}">
  <ds:schemaRefs>
    <ds:schemaRef ds:uri="http://schemas.microsoft.com/office/2006/metadata/properties"/>
    <ds:schemaRef ds:uri="http://schemas.microsoft.com/office/infopath/2007/PartnerControls"/>
    <ds:schemaRef ds:uri="dc194a65-0b87-4cec-8d27-ba7eef3d19f2"/>
    <ds:schemaRef ds:uri="f9f72dca-bea9-4130-b3fb-ac9ed8015cc0"/>
  </ds:schemaRefs>
</ds:datastoreItem>
</file>

<file path=customXml/itemProps3.xml><?xml version="1.0" encoding="utf-8"?>
<ds:datastoreItem xmlns:ds="http://schemas.openxmlformats.org/officeDocument/2006/customXml" ds:itemID="{14DFA97C-169A-423C-BEFB-B7D6C34FED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f72dca-bea9-4130-b3fb-ac9ed8015cc0"/>
    <ds:schemaRef ds:uri="dc194a65-0b87-4cec-8d27-ba7eef3d19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1224</Words>
  <Characters>6982</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Sileni</dc:creator>
  <cp:keywords/>
  <dc:description/>
  <cp:lastModifiedBy>Matteo Rinaldi</cp:lastModifiedBy>
  <cp:revision>2</cp:revision>
  <cp:lastPrinted>2024-03-05T10:20:00Z</cp:lastPrinted>
  <dcterms:created xsi:type="dcterms:W3CDTF">2024-03-05T13:18:00Z</dcterms:created>
  <dcterms:modified xsi:type="dcterms:W3CDTF">2024-03-05T13:18:00Z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0x010100594FB201D960E24394987335AEF67F9C</vt:lpwstr>
  </property>
</Properties>
</file>